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9" w:rsidRPr="00C21E99" w:rsidRDefault="00C21E99" w:rsidP="00C21E99">
      <w:pPr>
        <w:shd w:val="clear" w:color="auto" w:fill="FFFFFF"/>
        <w:spacing w:before="100" w:after="33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C21E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PRECHODNÝ POBYT</w:t>
      </w:r>
    </w:p>
    <w:p w:rsidR="00560C11" w:rsidRPr="00560C11" w:rsidRDefault="00560C11" w:rsidP="0056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tbl>
      <w:tblPr>
        <w:tblW w:w="8034" w:type="dxa"/>
        <w:jc w:val="center"/>
        <w:tblCellSpacing w:w="20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6727"/>
      </w:tblGrid>
      <w:tr w:rsidR="00560C11" w:rsidRPr="00560C11" w:rsidTr="006901C8">
        <w:trPr>
          <w:trHeight w:val="2121"/>
          <w:tblCellSpacing w:w="20" w:type="dxa"/>
          <w:jc w:val="center"/>
        </w:trPr>
        <w:tc>
          <w:tcPr>
            <w:tcW w:w="776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149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0263B7" w:rsidRPr="000263B7" w:rsidRDefault="000263B7" w:rsidP="000263B7">
            <w:pPr>
              <w:pStyle w:val="Normlnywebov"/>
              <w:spacing w:before="84" w:beforeAutospacing="0" w:after="33" w:afterAutospacing="0"/>
              <w:rPr>
                <w:color w:val="333333"/>
              </w:rPr>
            </w:pPr>
            <w:r w:rsidRPr="000263B7">
              <w:rPr>
                <w:color w:val="363E88"/>
              </w:rPr>
              <w:t>Prechodný pobyt je pobyt občana mimo miesta trvalého pobytu, kde sa občan dočasne zdržiava, ak má trvať viac ako 90 dní.</w:t>
            </w:r>
          </w:p>
          <w:p w:rsidR="00560C11" w:rsidRPr="00560C11" w:rsidRDefault="000263B7" w:rsidP="000263B7">
            <w:pPr>
              <w:pStyle w:val="Normlnywebov"/>
              <w:spacing w:before="84" w:beforeAutospacing="0" w:after="33" w:afterAutospacing="0"/>
              <w:rPr>
                <w:color w:val="333333"/>
              </w:rPr>
            </w:pPr>
            <w:r w:rsidRPr="000263B7">
              <w:rPr>
                <w:color w:val="363E88"/>
              </w:rPr>
              <w:t>Prechodný pobyt je tiež pobyt občana trvalo žijúceho v zahraničí, ktorý má na území Slovenskej republiky trvať viac ako 90 dní.</w:t>
            </w:r>
            <w:r w:rsidRPr="000263B7">
              <w:rPr>
                <w:color w:val="363E88"/>
              </w:rPr>
              <w:br/>
              <w:t>Občan hlási ohlasovni v mieste prechodného pobytu do desiatich dní od ubytovania začiatok, miesto a predpokladanú dobu prechodného pobytu</w:t>
            </w:r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149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a) platný občiansky preukaz alebo doklad o občianskom preukaze; ak ide o dieťa do 15 rokov, predkladá jeho zákonný zástupca rodný list tohto dieťaťa,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b) platný cestovný doklad Slovenskej republiky alebo osvedčenie o štátnom občianstve Slovenskej republiky nie staršie ako tri mesiace, ak nemá občiansky preukaz alebo doklad o občianskom preukaze,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c) doklad o vlastníctve alebo spoluvlastníctve budovy alebo jej časti podľa odseku 2 vydaný podľa osobitného právneho predpisu</w:t>
            </w:r>
          </w:p>
          <w:p w:rsidR="00560C11" w:rsidRPr="00560C11" w:rsidRDefault="00560C11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d) písomné potvrdenie o súhlase s prihlásením občana na trvalý pobyt s osvedčeným podpisom vlastníka alebo všetkých spoluvlastníkov budovy alebo jej časti a nájomcu, ak je budova alebo jej časť v nájme; toto potvrdenie sa nevyžaduje, ak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1. ide o prihlásenie vlastníka alebo spoluvlastníka,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2. ide o prihlásenie nájomcu, ak má nájomnú zmluvu uzavretú s vlastníkom alebo so všetkými spoluvlastníkmi na neurčitú dobu,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3. ide o prihlásenie manžela alebo nezaopatreného dieťaťa vlastníka, spoluvlastníka alebo nájomcu podľa bodov 1 a 2,</w:t>
            </w:r>
          </w:p>
          <w:p w:rsidR="00560C11" w:rsidRPr="00560C11" w:rsidRDefault="00560C11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4. vlastník alebo spoluvlastník budovy alebo jej časti, alebo nájomca, ak je budova alebo jej časť v nájme, potvrdí svojím podpisom na prihlasovacom lístku na trvalý pobyt súhlas s prihlásením občana na trvalý pobyt pred zamestnancom ohlasovne </w:t>
            </w:r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149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Oddelenie organizačné a vnútornej  správy, II. poschodie,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č.dv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14</w:t>
            </w:r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149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+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421 </w:t>
            </w:r>
            <w:r w:rsidRPr="00560C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056/63 212 68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,</w:t>
            </w:r>
            <w:r w:rsidR="006901C8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Alžbeta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901C8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Lipanová</w:t>
            </w:r>
            <w:proofErr w:type="spellEnd"/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149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6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na počkanie</w:t>
            </w:r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149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263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5 € v hotovosti</w:t>
            </w:r>
          </w:p>
        </w:tc>
      </w:tr>
      <w:tr w:rsidR="00560C11" w:rsidRPr="00560C11" w:rsidTr="006901C8">
        <w:trPr>
          <w:tblCellSpacing w:w="20" w:type="dxa"/>
          <w:jc w:val="center"/>
        </w:trPr>
        <w:tc>
          <w:tcPr>
            <w:tcW w:w="776" w:type="pct"/>
            <w:tcBorders>
              <w:left w:val="outset" w:sz="18" w:space="0" w:color="3333FF"/>
              <w:bottom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Legislatíva</w:t>
            </w:r>
          </w:p>
        </w:tc>
        <w:tc>
          <w:tcPr>
            <w:tcW w:w="4149" w:type="pct"/>
            <w:tcBorders>
              <w:bottom w:val="outset" w:sz="18" w:space="0" w:color="3333FF"/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Zákon č. 253/1998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Z.z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o hlásení a evidencii pobytu občanov</w:t>
            </w:r>
          </w:p>
        </w:tc>
      </w:tr>
    </w:tbl>
    <w:p w:rsidR="00560C11" w:rsidRPr="00560C11" w:rsidRDefault="00560C11" w:rsidP="00560C11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4A5F05" w:rsidRPr="00560C11" w:rsidRDefault="00560C11" w:rsidP="00560C11">
      <w:pPr>
        <w:rPr>
          <w:rFonts w:ascii="Times New Roman" w:hAnsi="Times New Roman" w:cs="Times New Roman"/>
          <w:sz w:val="24"/>
          <w:szCs w:val="24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 w:type="textWrapping" w:clear="all"/>
        <w:t> </w:t>
      </w:r>
    </w:p>
    <w:sectPr w:rsidR="004A5F05" w:rsidRPr="00560C11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C11"/>
    <w:rsid w:val="000263B7"/>
    <w:rsid w:val="001741D8"/>
    <w:rsid w:val="0032687E"/>
    <w:rsid w:val="004A5F05"/>
    <w:rsid w:val="00560C11"/>
    <w:rsid w:val="006901C8"/>
    <w:rsid w:val="00C21E99"/>
    <w:rsid w:val="00D3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F05"/>
  </w:style>
  <w:style w:type="paragraph" w:styleId="Nadpis2">
    <w:name w:val="heading 2"/>
    <w:basedOn w:val="Normlny"/>
    <w:link w:val="Nadpis2Char"/>
    <w:uiPriority w:val="9"/>
    <w:qFormat/>
    <w:rsid w:val="00C21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customStyle="1" w:styleId="Nadpis2Char">
    <w:name w:val="Nadpis 2 Char"/>
    <w:basedOn w:val="Predvolenpsmoodseku"/>
    <w:link w:val="Nadpis2"/>
    <w:uiPriority w:val="9"/>
    <w:rsid w:val="00C21E9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Owner</cp:lastModifiedBy>
  <cp:revision>4</cp:revision>
  <dcterms:created xsi:type="dcterms:W3CDTF">2017-04-03T19:26:00Z</dcterms:created>
  <dcterms:modified xsi:type="dcterms:W3CDTF">2022-11-22T12:57:00Z</dcterms:modified>
</cp:coreProperties>
</file>